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7A6A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35E30F2C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62C9DC94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7520128C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6A747D91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1202157F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74FF593D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030F6A88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01769025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3C84796A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4132BB28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5242CA97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6762F39F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5A2902C3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725BD12C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47747920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5A578914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6B32B6E7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139FB8AD" w14:textId="77777777" w:rsidR="00491572" w:rsidRDefault="00491572" w:rsidP="00491572">
      <w:pPr>
        <w:pStyle w:val="Header"/>
        <w:jc w:val="center"/>
        <w:rPr>
          <w:b/>
          <w:bCs/>
          <w:sz w:val="18"/>
          <w:szCs w:val="18"/>
        </w:rPr>
      </w:pPr>
    </w:p>
    <w:p w14:paraId="717C88F4" w14:textId="77777777" w:rsidR="00491572" w:rsidRDefault="00491572" w:rsidP="00491572">
      <w:pPr>
        <w:pStyle w:val="Header"/>
        <w:jc w:val="center"/>
        <w:rPr>
          <w:b/>
          <w:bCs/>
          <w:sz w:val="126"/>
          <w:szCs w:val="18"/>
        </w:rPr>
      </w:pPr>
      <w:r>
        <w:rPr>
          <w:b/>
          <w:bCs/>
          <w:sz w:val="126"/>
          <w:szCs w:val="18"/>
        </w:rPr>
        <w:t xml:space="preserve">Careers </w:t>
      </w:r>
    </w:p>
    <w:p w14:paraId="519EFD1D" w14:textId="77777777" w:rsidR="00B229F7" w:rsidRDefault="00B229F7" w:rsidP="00491572">
      <w:pPr>
        <w:pStyle w:val="Header"/>
        <w:jc w:val="center"/>
        <w:rPr>
          <w:b/>
          <w:bCs/>
          <w:sz w:val="126"/>
          <w:szCs w:val="18"/>
        </w:rPr>
      </w:pPr>
      <w:r w:rsidRPr="00B229F7">
        <w:rPr>
          <w:b/>
          <w:bCs/>
          <w:sz w:val="126"/>
          <w:szCs w:val="18"/>
        </w:rPr>
        <w:t>P</w:t>
      </w:r>
      <w:r>
        <w:rPr>
          <w:b/>
          <w:bCs/>
          <w:sz w:val="126"/>
          <w:szCs w:val="18"/>
        </w:rPr>
        <w:t>rovider</w:t>
      </w:r>
    </w:p>
    <w:p w14:paraId="5B6120C5" w14:textId="77777777" w:rsidR="00B229F7" w:rsidRDefault="00B229F7" w:rsidP="00491572">
      <w:pPr>
        <w:pStyle w:val="Header"/>
        <w:jc w:val="center"/>
        <w:rPr>
          <w:b/>
          <w:bCs/>
          <w:sz w:val="126"/>
          <w:szCs w:val="18"/>
        </w:rPr>
      </w:pPr>
      <w:r w:rsidRPr="00B229F7">
        <w:rPr>
          <w:b/>
          <w:bCs/>
          <w:sz w:val="126"/>
          <w:szCs w:val="18"/>
        </w:rPr>
        <w:t>A</w:t>
      </w:r>
      <w:r>
        <w:rPr>
          <w:b/>
          <w:bCs/>
          <w:sz w:val="126"/>
          <w:szCs w:val="18"/>
        </w:rPr>
        <w:t>ccess</w:t>
      </w:r>
    </w:p>
    <w:p w14:paraId="3832FA3C" w14:textId="77777777" w:rsidR="00491572" w:rsidRDefault="00491572" w:rsidP="00491572">
      <w:pPr>
        <w:pStyle w:val="Header"/>
        <w:jc w:val="center"/>
        <w:rPr>
          <w:b/>
          <w:bCs/>
          <w:sz w:val="126"/>
          <w:szCs w:val="18"/>
        </w:rPr>
      </w:pPr>
      <w:r>
        <w:rPr>
          <w:b/>
          <w:bCs/>
          <w:sz w:val="126"/>
          <w:szCs w:val="18"/>
        </w:rPr>
        <w:t>Policy</w:t>
      </w:r>
    </w:p>
    <w:p w14:paraId="16B6B361" w14:textId="6AB321C4" w:rsidR="00491572" w:rsidRDefault="009064B9" w:rsidP="00491572">
      <w:pPr>
        <w:pStyle w:val="Header"/>
        <w:jc w:val="center"/>
        <w:rPr>
          <w:b/>
          <w:bCs/>
          <w:sz w:val="60"/>
          <w:szCs w:val="18"/>
        </w:rPr>
      </w:pPr>
      <w:r>
        <w:rPr>
          <w:b/>
          <w:bCs/>
          <w:sz w:val="60"/>
          <w:szCs w:val="18"/>
        </w:rPr>
        <w:t>May 2021</w:t>
      </w:r>
    </w:p>
    <w:p w14:paraId="7A0C5312" w14:textId="77777777" w:rsidR="00491572" w:rsidRPr="00862E1B" w:rsidRDefault="00491572" w:rsidP="00491572">
      <w:pPr>
        <w:pStyle w:val="Header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>
        <w:rPr>
          <w:noProof/>
        </w:rPr>
        <w:drawing>
          <wp:anchor distT="0" distB="0" distL="114300" distR="114300" simplePos="0" relativeHeight="251659264" behindDoc="1" locked="1" layoutInCell="1" allowOverlap="0" wp14:anchorId="00AD76BC" wp14:editId="19B0B815">
            <wp:simplePos x="0" y="0"/>
            <wp:positionH relativeFrom="page">
              <wp:posOffset>1847850</wp:posOffset>
            </wp:positionH>
            <wp:positionV relativeFrom="page">
              <wp:posOffset>0</wp:posOffset>
            </wp:positionV>
            <wp:extent cx="3870000" cy="2433600"/>
            <wp:effectExtent l="0" t="0" r="0" b="508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137TOP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000" cy="24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BDAA4" w14:textId="77777777" w:rsidR="00491572" w:rsidRDefault="00491572" w:rsidP="00491572">
      <w:pPr>
        <w:pStyle w:val="Default"/>
        <w:rPr>
          <w:sz w:val="18"/>
          <w:szCs w:val="18"/>
        </w:rPr>
      </w:pPr>
    </w:p>
    <w:p w14:paraId="1E5F9E38" w14:textId="77777777" w:rsidR="00491572" w:rsidRDefault="00491572" w:rsidP="0049157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 </w:t>
      </w:r>
    </w:p>
    <w:p w14:paraId="55459F9C" w14:textId="77777777" w:rsidR="00491572" w:rsidRDefault="00491572" w:rsidP="00491572">
      <w:pPr>
        <w:pStyle w:val="Default"/>
        <w:rPr>
          <w:color w:val="auto"/>
        </w:rPr>
        <w:sectPr w:rsidR="00491572">
          <w:pgSz w:w="11906" w:h="17338"/>
          <w:pgMar w:top="1145" w:right="1106" w:bottom="661" w:left="1189" w:header="720" w:footer="720" w:gutter="0"/>
          <w:cols w:space="720"/>
          <w:noEndnote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2893"/>
      </w:tblGrid>
      <w:tr w:rsidR="00491572" w14:paraId="265C0C27" w14:textId="77777777">
        <w:trPr>
          <w:trHeight w:val="254"/>
        </w:trPr>
        <w:tc>
          <w:tcPr>
            <w:tcW w:w="2893" w:type="dxa"/>
          </w:tcPr>
          <w:p w14:paraId="6B0918A2" w14:textId="5D3B3D00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lastRenderedPageBreak/>
              <w:t xml:space="preserve">Document control </w:t>
            </w:r>
          </w:p>
        </w:tc>
        <w:tc>
          <w:tcPr>
            <w:tcW w:w="2893" w:type="dxa"/>
          </w:tcPr>
          <w:p w14:paraId="5702ED72" w14:textId="5D1E38AE" w:rsidR="00491572" w:rsidRDefault="00491572">
            <w:pPr>
              <w:pStyle w:val="Default"/>
              <w:rPr>
                <w:sz w:val="22"/>
                <w:szCs w:val="22"/>
              </w:rPr>
            </w:pPr>
          </w:p>
        </w:tc>
      </w:tr>
      <w:tr w:rsidR="00491572" w14:paraId="017F776B" w14:textId="77777777">
        <w:trPr>
          <w:trHeight w:val="110"/>
        </w:trPr>
        <w:tc>
          <w:tcPr>
            <w:tcW w:w="2893" w:type="dxa"/>
          </w:tcPr>
          <w:p w14:paraId="344AF090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last review </w:t>
            </w:r>
          </w:p>
        </w:tc>
        <w:tc>
          <w:tcPr>
            <w:tcW w:w="2893" w:type="dxa"/>
          </w:tcPr>
          <w:p w14:paraId="39FB8739" w14:textId="0B1AEB8A" w:rsidR="00491572" w:rsidRDefault="007706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2021</w:t>
            </w:r>
            <w:r w:rsidR="00491572">
              <w:rPr>
                <w:sz w:val="22"/>
                <w:szCs w:val="22"/>
              </w:rPr>
              <w:t xml:space="preserve">  </w:t>
            </w:r>
          </w:p>
        </w:tc>
      </w:tr>
      <w:tr w:rsidR="00491572" w14:paraId="4780BA20" w14:textId="77777777">
        <w:trPr>
          <w:trHeight w:val="110"/>
        </w:trPr>
        <w:tc>
          <w:tcPr>
            <w:tcW w:w="2893" w:type="dxa"/>
          </w:tcPr>
          <w:p w14:paraId="1214F1F5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next review </w:t>
            </w:r>
          </w:p>
        </w:tc>
        <w:tc>
          <w:tcPr>
            <w:tcW w:w="2893" w:type="dxa"/>
          </w:tcPr>
          <w:p w14:paraId="4892EC51" w14:textId="58FD97B3" w:rsidR="00491572" w:rsidRDefault="007706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49157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="00491572">
              <w:rPr>
                <w:sz w:val="22"/>
                <w:szCs w:val="22"/>
              </w:rPr>
              <w:t xml:space="preserve"> </w:t>
            </w:r>
          </w:p>
        </w:tc>
      </w:tr>
      <w:tr w:rsidR="00491572" w14:paraId="4C8AC934" w14:textId="77777777">
        <w:trPr>
          <w:trHeight w:val="110"/>
        </w:trPr>
        <w:tc>
          <w:tcPr>
            <w:tcW w:w="2893" w:type="dxa"/>
          </w:tcPr>
          <w:p w14:paraId="307145ED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Review period </w:t>
            </w:r>
          </w:p>
        </w:tc>
        <w:tc>
          <w:tcPr>
            <w:tcW w:w="2893" w:type="dxa"/>
          </w:tcPr>
          <w:p w14:paraId="049468F2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Year </w:t>
            </w:r>
          </w:p>
        </w:tc>
      </w:tr>
      <w:tr w:rsidR="00491572" w14:paraId="59E2231D" w14:textId="77777777">
        <w:trPr>
          <w:trHeight w:val="110"/>
        </w:trPr>
        <w:tc>
          <w:tcPr>
            <w:tcW w:w="2893" w:type="dxa"/>
          </w:tcPr>
          <w:p w14:paraId="0355C010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Status </w:t>
            </w:r>
          </w:p>
        </w:tc>
        <w:tc>
          <w:tcPr>
            <w:tcW w:w="2893" w:type="dxa"/>
          </w:tcPr>
          <w:p w14:paraId="0BB5D612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Statutory </w:t>
            </w:r>
          </w:p>
        </w:tc>
      </w:tr>
      <w:tr w:rsidR="00491572" w14:paraId="7B734D3E" w14:textId="77777777">
        <w:trPr>
          <w:trHeight w:val="110"/>
        </w:trPr>
        <w:tc>
          <w:tcPr>
            <w:tcW w:w="2893" w:type="dxa"/>
          </w:tcPr>
          <w:p w14:paraId="536A00AD" w14:textId="208D3518" w:rsidR="00491572" w:rsidRDefault="004915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14:paraId="24A8D154" w14:textId="13B1A17F" w:rsidR="00491572" w:rsidRDefault="00491572">
            <w:pPr>
              <w:pStyle w:val="Default"/>
              <w:rPr>
                <w:sz w:val="22"/>
                <w:szCs w:val="22"/>
              </w:rPr>
            </w:pPr>
          </w:p>
        </w:tc>
      </w:tr>
      <w:tr w:rsidR="00491572" w14:paraId="5149AAA7" w14:textId="77777777">
        <w:trPr>
          <w:trHeight w:val="110"/>
        </w:trPr>
        <w:tc>
          <w:tcPr>
            <w:tcW w:w="2893" w:type="dxa"/>
          </w:tcPr>
          <w:p w14:paraId="1167398A" w14:textId="36B77848" w:rsidR="00491572" w:rsidRDefault="004915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14:paraId="401719E8" w14:textId="643A96C9" w:rsidR="00491572" w:rsidRDefault="0049157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224AC8D" w14:textId="77777777" w:rsidR="00E40C28" w:rsidRDefault="00E40C28"/>
    <w:p w14:paraId="23FC5592" w14:textId="77777777" w:rsidR="0009036F" w:rsidRDefault="0009036F">
      <w:r>
        <w:br w:type="page"/>
      </w:r>
    </w:p>
    <w:p w14:paraId="226B8C4C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2F1F350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9036F">
        <w:rPr>
          <w:rFonts w:ascii="Calibri" w:hAnsi="Calibri" w:cs="Calibri"/>
          <w:sz w:val="18"/>
          <w:szCs w:val="18"/>
        </w:rPr>
        <w:t xml:space="preserve">4 </w:t>
      </w:r>
    </w:p>
    <w:p w14:paraId="67100446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9036F">
        <w:rPr>
          <w:rFonts w:ascii="Calibri" w:hAnsi="Calibri" w:cs="Calibri"/>
          <w:b/>
          <w:bCs/>
          <w:sz w:val="32"/>
          <w:szCs w:val="32"/>
        </w:rPr>
        <w:t xml:space="preserve">Introduction </w:t>
      </w:r>
    </w:p>
    <w:p w14:paraId="6C80E4D1" w14:textId="4726A6AA" w:rsidR="0009036F" w:rsidRPr="0009036F" w:rsidRDefault="0009036F" w:rsidP="007706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1. This policy statement sets out the </w:t>
      </w:r>
      <w:r w:rsidR="007706BB">
        <w:rPr>
          <w:rFonts w:ascii="Calibri" w:hAnsi="Calibri" w:cs="Calibri"/>
        </w:rPr>
        <w:t>S</w:t>
      </w:r>
      <w:r w:rsidRPr="0009036F">
        <w:rPr>
          <w:rFonts w:ascii="Calibri" w:hAnsi="Calibri" w:cs="Calibri"/>
        </w:rPr>
        <w:t xml:space="preserve">chool’s arrangements for managing the access of providers to pupils at the </w:t>
      </w:r>
      <w:r w:rsidR="007706BB">
        <w:rPr>
          <w:rFonts w:ascii="Calibri" w:hAnsi="Calibri" w:cs="Calibri"/>
        </w:rPr>
        <w:t>S</w:t>
      </w:r>
      <w:r w:rsidRPr="0009036F">
        <w:rPr>
          <w:rFonts w:ascii="Calibri" w:hAnsi="Calibri" w:cs="Calibri"/>
        </w:rPr>
        <w:t xml:space="preserve">chool for the purpose of giving them information about the provider’s education or training offer. This complies with the </w:t>
      </w:r>
      <w:r w:rsidR="007706BB">
        <w:rPr>
          <w:rFonts w:ascii="Calibri" w:hAnsi="Calibri" w:cs="Calibri"/>
        </w:rPr>
        <w:t>S</w:t>
      </w:r>
      <w:r w:rsidRPr="0009036F">
        <w:rPr>
          <w:rFonts w:ascii="Calibri" w:hAnsi="Calibri" w:cs="Calibri"/>
        </w:rPr>
        <w:t xml:space="preserve">chool’s legal obligations under Section 42B of the Education Act 1997. </w:t>
      </w:r>
    </w:p>
    <w:p w14:paraId="27D71BA4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4C23D8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9036F">
        <w:rPr>
          <w:rFonts w:ascii="Calibri" w:hAnsi="Calibri" w:cs="Calibri"/>
          <w:b/>
          <w:bCs/>
          <w:sz w:val="32"/>
          <w:szCs w:val="32"/>
        </w:rPr>
        <w:t xml:space="preserve">Pupil entitlement </w:t>
      </w:r>
    </w:p>
    <w:p w14:paraId="3E07D0F6" w14:textId="77777777" w:rsidR="0009036F" w:rsidRPr="0009036F" w:rsidRDefault="0009036F" w:rsidP="0009036F">
      <w:pPr>
        <w:autoSpaceDE w:val="0"/>
        <w:autoSpaceDN w:val="0"/>
        <w:adjustRightInd w:val="0"/>
        <w:spacing w:after="109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To provide pupils from Year 7 to Year 11</w:t>
      </w:r>
      <w:r w:rsidRPr="0009036F">
        <w:rPr>
          <w:rFonts w:ascii="Calibri" w:hAnsi="Calibri" w:cs="Calibri"/>
        </w:rPr>
        <w:t xml:space="preserve"> with the entitlement to: </w:t>
      </w:r>
    </w:p>
    <w:p w14:paraId="4CE84FC0" w14:textId="30D4A6FE" w:rsidR="0009036F" w:rsidRPr="0009036F" w:rsidRDefault="0009036F" w:rsidP="000903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9" w:line="240" w:lineRule="auto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find out about technical education qualifications and apprenticeship opportunities, as part of a careers programme which provides information on the full range of education and training options available at each transition point; </w:t>
      </w:r>
    </w:p>
    <w:p w14:paraId="07485630" w14:textId="4FADDCD2" w:rsidR="0009036F" w:rsidRPr="0009036F" w:rsidRDefault="0009036F" w:rsidP="000903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9" w:line="240" w:lineRule="auto"/>
        <w:rPr>
          <w:rFonts w:ascii="Calibri" w:hAnsi="Calibri" w:cs="Calibri"/>
        </w:rPr>
      </w:pPr>
      <w:r w:rsidRPr="0009036F">
        <w:rPr>
          <w:rFonts w:ascii="Calibri" w:hAnsi="Calibri" w:cs="Calibri"/>
        </w:rPr>
        <w:t>hear from a range of local providers about the opportunities they offer, including technical education and apprenticeships</w:t>
      </w:r>
      <w:r w:rsidR="007706BB">
        <w:rPr>
          <w:rFonts w:ascii="Calibri" w:hAnsi="Calibri" w:cs="Calibri"/>
        </w:rPr>
        <w:t xml:space="preserve">, </w:t>
      </w:r>
      <w:r w:rsidRPr="0009036F">
        <w:rPr>
          <w:rFonts w:ascii="Calibri" w:hAnsi="Calibri" w:cs="Calibri"/>
        </w:rPr>
        <w:t>through options events, assemblies</w:t>
      </w:r>
      <w:r w:rsidR="007706BB">
        <w:rPr>
          <w:rFonts w:ascii="Calibri" w:hAnsi="Calibri" w:cs="Calibri"/>
        </w:rPr>
        <w:t xml:space="preserve">, </w:t>
      </w:r>
      <w:r w:rsidRPr="0009036F">
        <w:rPr>
          <w:rFonts w:ascii="Calibri" w:hAnsi="Calibri" w:cs="Calibri"/>
        </w:rPr>
        <w:t xml:space="preserve">group discussions </w:t>
      </w:r>
      <w:r w:rsidR="007706BB">
        <w:rPr>
          <w:rFonts w:ascii="Calibri" w:hAnsi="Calibri" w:cs="Calibri"/>
        </w:rPr>
        <w:t>and</w:t>
      </w:r>
      <w:r w:rsidRPr="0009036F">
        <w:rPr>
          <w:rFonts w:ascii="Calibri" w:hAnsi="Calibri" w:cs="Calibri"/>
        </w:rPr>
        <w:t xml:space="preserve"> taster events; </w:t>
      </w:r>
    </w:p>
    <w:p w14:paraId="7D1F3651" w14:textId="77777777" w:rsidR="0009036F" w:rsidRPr="0009036F" w:rsidRDefault="0009036F" w:rsidP="000903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understand how to make applications for the full range of academic and technical courses. </w:t>
      </w:r>
    </w:p>
    <w:p w14:paraId="3173BB2F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E0DA5B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9036F">
        <w:rPr>
          <w:rFonts w:ascii="Calibri" w:hAnsi="Calibri" w:cs="Calibri"/>
          <w:b/>
          <w:bCs/>
          <w:sz w:val="32"/>
          <w:szCs w:val="32"/>
        </w:rPr>
        <w:t xml:space="preserve">Who is responsible for this policy? </w:t>
      </w:r>
    </w:p>
    <w:p w14:paraId="3025BE8F" w14:textId="77777777" w:rsidR="0009036F" w:rsidRPr="0009036F" w:rsidRDefault="0009036F" w:rsidP="007706BB">
      <w:pPr>
        <w:autoSpaceDE w:val="0"/>
        <w:autoSpaceDN w:val="0"/>
        <w:adjustRightInd w:val="0"/>
        <w:spacing w:after="99" w:line="240" w:lineRule="auto"/>
        <w:jc w:val="both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3. The </w:t>
      </w:r>
      <w:r>
        <w:rPr>
          <w:rFonts w:ascii="Calibri" w:hAnsi="Calibri" w:cs="Calibri"/>
        </w:rPr>
        <w:t>Governing Body</w:t>
      </w:r>
      <w:r w:rsidRPr="0009036F">
        <w:rPr>
          <w:rFonts w:ascii="Calibri" w:hAnsi="Calibri" w:cs="Calibri"/>
        </w:rPr>
        <w:t xml:space="preserve"> has overall responsibility for the effective operation of this policy and for ensuring compliance with the relevant statutory framework. The </w:t>
      </w:r>
      <w:r>
        <w:rPr>
          <w:rFonts w:ascii="Calibri" w:hAnsi="Calibri" w:cs="Calibri"/>
        </w:rPr>
        <w:t xml:space="preserve">Governing Body </w:t>
      </w:r>
      <w:r w:rsidRPr="0009036F">
        <w:rPr>
          <w:rFonts w:ascii="Calibri" w:hAnsi="Calibri" w:cs="Calibri"/>
        </w:rPr>
        <w:t xml:space="preserve">has delegated day-to-day responsibility for operating the policy to the </w:t>
      </w:r>
      <w:r>
        <w:rPr>
          <w:rFonts w:ascii="Calibri" w:hAnsi="Calibri" w:cs="Calibri"/>
        </w:rPr>
        <w:t>Headteacher of the</w:t>
      </w:r>
      <w:r w:rsidRPr="0009036F">
        <w:rPr>
          <w:rFonts w:ascii="Calibri" w:hAnsi="Calibri" w:cs="Calibri"/>
        </w:rPr>
        <w:t xml:space="preserve"> school. </w:t>
      </w:r>
    </w:p>
    <w:p w14:paraId="330C4433" w14:textId="77777777" w:rsidR="0009036F" w:rsidRPr="0009036F" w:rsidRDefault="0009036F" w:rsidP="007706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4. The Senior Leadership Team has a specific responsibility to ensure the fair application of this policy and all members of staff are responsible for supporting colleagues and ensuring its success. </w:t>
      </w:r>
    </w:p>
    <w:p w14:paraId="78A1209B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6CD078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09036F">
        <w:rPr>
          <w:rFonts w:ascii="Calibri" w:hAnsi="Calibri" w:cs="Calibri"/>
          <w:b/>
          <w:bCs/>
          <w:sz w:val="32"/>
          <w:szCs w:val="32"/>
        </w:rPr>
        <w:t xml:space="preserve">Management of provider access requests </w:t>
      </w:r>
    </w:p>
    <w:p w14:paraId="618676AA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5. A provider wishing to request access should contact: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4528"/>
      </w:tblGrid>
      <w:tr w:rsidR="0009036F" w:rsidRPr="0009036F" w14:paraId="0218FD7C" w14:textId="77777777" w:rsidTr="007706BB">
        <w:trPr>
          <w:trHeight w:val="135"/>
        </w:trPr>
        <w:tc>
          <w:tcPr>
            <w:tcW w:w="4227" w:type="dxa"/>
          </w:tcPr>
          <w:p w14:paraId="7E83473F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Name </w:t>
            </w:r>
          </w:p>
        </w:tc>
        <w:tc>
          <w:tcPr>
            <w:tcW w:w="4528" w:type="dxa"/>
          </w:tcPr>
          <w:p w14:paraId="0D5146E2" w14:textId="57D357F6" w:rsidR="0009036F" w:rsidRPr="0009036F" w:rsidRDefault="007706BB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 xml:space="preserve">Mrs </w:t>
            </w:r>
            <w:r w:rsidR="00EF17AC">
              <w:rPr>
                <w:rFonts w:ascii="Calibri" w:hAnsi="Calibri" w:cs="Calibri"/>
                <w:color w:val="000000"/>
                <w:highlight w:val="yellow"/>
              </w:rPr>
              <w:t>Hajra Akubat</w:t>
            </w:r>
            <w:r w:rsidR="0009036F" w:rsidRPr="0009036F">
              <w:rPr>
                <w:rFonts w:ascii="Calibri" w:hAnsi="Calibri" w:cs="Calibri"/>
                <w:color w:val="000000"/>
                <w:highlight w:val="yellow"/>
              </w:rPr>
              <w:t xml:space="preserve">, </w:t>
            </w:r>
            <w:r w:rsidR="00EF17AC">
              <w:rPr>
                <w:rFonts w:ascii="Calibri" w:hAnsi="Calibri" w:cs="Calibri"/>
                <w:color w:val="000000"/>
                <w:highlight w:val="yellow"/>
              </w:rPr>
              <w:t>Exams and Careers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 Officer</w:t>
            </w:r>
          </w:p>
        </w:tc>
      </w:tr>
      <w:tr w:rsidR="0009036F" w:rsidRPr="0009036F" w14:paraId="22F92AD2" w14:textId="77777777" w:rsidTr="007706BB">
        <w:trPr>
          <w:trHeight w:val="135"/>
        </w:trPr>
        <w:tc>
          <w:tcPr>
            <w:tcW w:w="4227" w:type="dxa"/>
          </w:tcPr>
          <w:p w14:paraId="13C12610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Telephone </w:t>
            </w:r>
          </w:p>
        </w:tc>
        <w:tc>
          <w:tcPr>
            <w:tcW w:w="4528" w:type="dxa"/>
          </w:tcPr>
          <w:p w14:paraId="73DDE723" w14:textId="77777777" w:rsidR="0009036F" w:rsidRPr="0009036F" w:rsidRDefault="00EF17AC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(01772</w:t>
            </w:r>
            <w:r w:rsidR="0009036F" w:rsidRPr="0009036F">
              <w:rPr>
                <w:rFonts w:ascii="Calibri" w:hAnsi="Calibri" w:cs="Calibri"/>
                <w:color w:val="000000"/>
                <w:highlight w:val="yellow"/>
              </w:rPr>
              <w:t xml:space="preserve">) </w:t>
            </w:r>
            <w:r>
              <w:rPr>
                <w:rFonts w:ascii="Calibri" w:hAnsi="Calibri" w:cs="Calibri"/>
                <w:color w:val="000000"/>
                <w:highlight w:val="yellow"/>
              </w:rPr>
              <w:t>651906</w:t>
            </w:r>
          </w:p>
        </w:tc>
      </w:tr>
      <w:tr w:rsidR="0009036F" w:rsidRPr="0009036F" w14:paraId="5455D183" w14:textId="77777777" w:rsidTr="007706BB">
        <w:trPr>
          <w:trHeight w:val="135"/>
        </w:trPr>
        <w:tc>
          <w:tcPr>
            <w:tcW w:w="4227" w:type="dxa"/>
          </w:tcPr>
          <w:p w14:paraId="4BEC6C91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Email </w:t>
            </w:r>
          </w:p>
        </w:tc>
        <w:tc>
          <w:tcPr>
            <w:tcW w:w="4528" w:type="dxa"/>
          </w:tcPr>
          <w:p w14:paraId="480DCBF2" w14:textId="0FECAC18" w:rsidR="0009036F" w:rsidRPr="0009036F" w:rsidRDefault="007706BB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h</w:t>
            </w:r>
            <w:r w:rsidR="00EF17AC">
              <w:rPr>
                <w:rFonts w:ascii="Calibri" w:hAnsi="Calibri" w:cs="Calibri"/>
                <w:color w:val="000000"/>
                <w:highlight w:val="yellow"/>
              </w:rPr>
              <w:t>ajra.akubat@pmghs.com</w:t>
            </w:r>
            <w:r w:rsidR="0009036F"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</w:tr>
    </w:tbl>
    <w:p w14:paraId="7B537D2E" w14:textId="77777777" w:rsidR="0009036F" w:rsidRDefault="0009036F"/>
    <w:p w14:paraId="4CF651CF" w14:textId="77777777" w:rsidR="0009036F" w:rsidRDefault="0009036F">
      <w:r>
        <w:br w:type="page"/>
      </w:r>
    </w:p>
    <w:p w14:paraId="20AD5508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9036F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Opportunities for access </w:t>
      </w:r>
    </w:p>
    <w:p w14:paraId="34A3DDC9" w14:textId="5113415B" w:rsidR="0009036F" w:rsidRDefault="0009036F" w:rsidP="00906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9036F">
        <w:rPr>
          <w:rFonts w:ascii="Calibri" w:hAnsi="Calibri" w:cs="Calibri"/>
          <w:color w:val="000000"/>
        </w:rPr>
        <w:t xml:space="preserve">6. A number of events, integrated into the </w:t>
      </w:r>
      <w:r w:rsidR="009064B9">
        <w:rPr>
          <w:rFonts w:ascii="Calibri" w:hAnsi="Calibri" w:cs="Calibri"/>
          <w:color w:val="000000"/>
        </w:rPr>
        <w:t>S</w:t>
      </w:r>
      <w:r w:rsidRPr="0009036F">
        <w:rPr>
          <w:rFonts w:ascii="Calibri" w:hAnsi="Calibri" w:cs="Calibri"/>
          <w:color w:val="000000"/>
        </w:rPr>
        <w:t xml:space="preserve">chool careers programme, will offer providers an opportunity to come into school to speak to pupils and/or their parents/carers: </w:t>
      </w:r>
    </w:p>
    <w:p w14:paraId="0D80459C" w14:textId="77777777" w:rsidR="00EF17AC" w:rsidRPr="0009036F" w:rsidRDefault="00EF17AC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031"/>
        <w:gridCol w:w="2031"/>
        <w:gridCol w:w="2031"/>
      </w:tblGrid>
      <w:tr w:rsidR="0009036F" w:rsidRPr="0009036F" w14:paraId="50F78EFF" w14:textId="77777777">
        <w:trPr>
          <w:trHeight w:val="249"/>
        </w:trPr>
        <w:tc>
          <w:tcPr>
            <w:tcW w:w="2031" w:type="dxa"/>
          </w:tcPr>
          <w:p w14:paraId="0CFB2022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</w:rPr>
              <w:t xml:space="preserve">Year Group </w:t>
            </w:r>
          </w:p>
        </w:tc>
        <w:tc>
          <w:tcPr>
            <w:tcW w:w="2031" w:type="dxa"/>
          </w:tcPr>
          <w:p w14:paraId="190C5D25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</w:rPr>
              <w:t xml:space="preserve">Autumn </w:t>
            </w:r>
          </w:p>
        </w:tc>
        <w:tc>
          <w:tcPr>
            <w:tcW w:w="2031" w:type="dxa"/>
          </w:tcPr>
          <w:p w14:paraId="0A5E0F0A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</w:rPr>
              <w:t xml:space="preserve">Spring </w:t>
            </w:r>
          </w:p>
        </w:tc>
        <w:tc>
          <w:tcPr>
            <w:tcW w:w="2031" w:type="dxa"/>
          </w:tcPr>
          <w:p w14:paraId="5573A7C2" w14:textId="77777777" w:rsidR="00C84CAE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</w:rPr>
              <w:t xml:space="preserve">Summer </w:t>
            </w:r>
          </w:p>
        </w:tc>
      </w:tr>
      <w:tr w:rsidR="00C84CAE" w:rsidRPr="0009036F" w14:paraId="2B698461" w14:textId="77777777">
        <w:trPr>
          <w:trHeight w:val="249"/>
        </w:trPr>
        <w:tc>
          <w:tcPr>
            <w:tcW w:w="2031" w:type="dxa"/>
          </w:tcPr>
          <w:p w14:paraId="4435BE74" w14:textId="77777777" w:rsidR="00C84CAE" w:rsidRPr="009064B9" w:rsidRDefault="00922471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064B9">
              <w:rPr>
                <w:rFonts w:ascii="Calibri" w:hAnsi="Calibri" w:cs="Calibri"/>
                <w:b/>
                <w:color w:val="000000"/>
                <w:highlight w:val="yellow"/>
              </w:rPr>
              <w:t>Year 7</w:t>
            </w:r>
          </w:p>
        </w:tc>
        <w:tc>
          <w:tcPr>
            <w:tcW w:w="2031" w:type="dxa"/>
          </w:tcPr>
          <w:p w14:paraId="5CD83E9B" w14:textId="77777777" w:rsidR="00C84CAE" w:rsidRPr="002C691E" w:rsidRDefault="00922471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 w:rsidRPr="002C691E">
              <w:rPr>
                <w:rFonts w:ascii="Calibri" w:hAnsi="Calibri" w:cs="Calibri"/>
                <w:bCs/>
                <w:color w:val="000000"/>
                <w:highlight w:val="yellow"/>
              </w:rPr>
              <w:t>Assemblies</w:t>
            </w:r>
          </w:p>
        </w:tc>
        <w:tc>
          <w:tcPr>
            <w:tcW w:w="2031" w:type="dxa"/>
          </w:tcPr>
          <w:p w14:paraId="6EE6B1AC" w14:textId="77777777" w:rsidR="00C84CAE" w:rsidRPr="002C691E" w:rsidRDefault="00922471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 w:rsidRPr="002C691E">
              <w:rPr>
                <w:rFonts w:ascii="Calibri" w:hAnsi="Calibri" w:cs="Calibri"/>
                <w:bCs/>
                <w:color w:val="000000"/>
                <w:highlight w:val="yellow"/>
              </w:rPr>
              <w:t>Special lessons</w:t>
            </w:r>
          </w:p>
        </w:tc>
        <w:tc>
          <w:tcPr>
            <w:tcW w:w="2031" w:type="dxa"/>
          </w:tcPr>
          <w:p w14:paraId="233B0CDF" w14:textId="77777777" w:rsidR="00C84CAE" w:rsidRPr="002C691E" w:rsidRDefault="00922471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 w:rsidRPr="002C691E">
              <w:rPr>
                <w:rFonts w:ascii="Calibri" w:hAnsi="Calibri" w:cs="Calibri"/>
                <w:bCs/>
                <w:color w:val="000000"/>
                <w:highlight w:val="yellow"/>
              </w:rPr>
              <w:t>Enterprise Day</w:t>
            </w:r>
          </w:p>
        </w:tc>
      </w:tr>
      <w:tr w:rsidR="00C84CAE" w:rsidRPr="0009036F" w14:paraId="56A6A660" w14:textId="77777777">
        <w:trPr>
          <w:trHeight w:val="110"/>
        </w:trPr>
        <w:tc>
          <w:tcPr>
            <w:tcW w:w="2031" w:type="dxa"/>
          </w:tcPr>
          <w:p w14:paraId="0A084E04" w14:textId="77777777" w:rsidR="00C84CAE" w:rsidRPr="009064B9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064B9">
              <w:rPr>
                <w:rFonts w:ascii="Calibri" w:hAnsi="Calibri" w:cs="Calibri"/>
                <w:b/>
                <w:color w:val="000000"/>
                <w:highlight w:val="yellow"/>
              </w:rPr>
              <w:t xml:space="preserve">Year 8 </w:t>
            </w:r>
          </w:p>
        </w:tc>
        <w:tc>
          <w:tcPr>
            <w:tcW w:w="2031" w:type="dxa"/>
          </w:tcPr>
          <w:p w14:paraId="7BA59B95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Assemblies </w:t>
            </w:r>
          </w:p>
        </w:tc>
        <w:tc>
          <w:tcPr>
            <w:tcW w:w="2031" w:type="dxa"/>
          </w:tcPr>
          <w:p w14:paraId="1B4EA2CF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Special lessons </w:t>
            </w:r>
          </w:p>
        </w:tc>
        <w:tc>
          <w:tcPr>
            <w:tcW w:w="2031" w:type="dxa"/>
          </w:tcPr>
          <w:p w14:paraId="32C8A675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Enterprise Day </w:t>
            </w:r>
          </w:p>
        </w:tc>
      </w:tr>
      <w:tr w:rsidR="00C84CAE" w:rsidRPr="0009036F" w14:paraId="4B986D44" w14:textId="77777777">
        <w:trPr>
          <w:trHeight w:val="244"/>
        </w:trPr>
        <w:tc>
          <w:tcPr>
            <w:tcW w:w="2031" w:type="dxa"/>
          </w:tcPr>
          <w:p w14:paraId="5249A2D7" w14:textId="77777777" w:rsidR="00C84CAE" w:rsidRPr="009064B9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064B9">
              <w:rPr>
                <w:rFonts w:ascii="Calibri" w:hAnsi="Calibri" w:cs="Calibri"/>
                <w:b/>
                <w:color w:val="000000"/>
                <w:highlight w:val="yellow"/>
              </w:rPr>
              <w:t xml:space="preserve">Year 9 </w:t>
            </w:r>
          </w:p>
        </w:tc>
        <w:tc>
          <w:tcPr>
            <w:tcW w:w="2031" w:type="dxa"/>
          </w:tcPr>
          <w:p w14:paraId="6DF8F682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Assemblies </w:t>
            </w:r>
          </w:p>
          <w:p w14:paraId="0315C25B" w14:textId="2B951EDF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Careers </w:t>
            </w:r>
            <w:r w:rsidR="009064B9">
              <w:rPr>
                <w:rFonts w:ascii="Calibri" w:hAnsi="Calibri" w:cs="Calibri"/>
                <w:color w:val="000000"/>
                <w:highlight w:val="yellow"/>
              </w:rPr>
              <w:t>e</w:t>
            </w: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vent </w:t>
            </w:r>
          </w:p>
        </w:tc>
        <w:tc>
          <w:tcPr>
            <w:tcW w:w="2031" w:type="dxa"/>
          </w:tcPr>
          <w:p w14:paraId="74CDCA8A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Special lessons </w:t>
            </w:r>
          </w:p>
        </w:tc>
        <w:tc>
          <w:tcPr>
            <w:tcW w:w="2031" w:type="dxa"/>
          </w:tcPr>
          <w:p w14:paraId="15DFF3CB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Enterprise Day </w:t>
            </w:r>
          </w:p>
        </w:tc>
      </w:tr>
      <w:tr w:rsidR="00C84CAE" w:rsidRPr="0009036F" w14:paraId="65B01E26" w14:textId="77777777">
        <w:trPr>
          <w:trHeight w:val="244"/>
        </w:trPr>
        <w:tc>
          <w:tcPr>
            <w:tcW w:w="2031" w:type="dxa"/>
          </w:tcPr>
          <w:p w14:paraId="31A49E39" w14:textId="77777777" w:rsidR="00C84CAE" w:rsidRPr="009064B9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064B9">
              <w:rPr>
                <w:rFonts w:ascii="Calibri" w:hAnsi="Calibri" w:cs="Calibri"/>
                <w:b/>
                <w:color w:val="000000"/>
                <w:highlight w:val="yellow"/>
              </w:rPr>
              <w:t xml:space="preserve">Year 10 </w:t>
            </w:r>
          </w:p>
        </w:tc>
        <w:tc>
          <w:tcPr>
            <w:tcW w:w="2031" w:type="dxa"/>
          </w:tcPr>
          <w:p w14:paraId="1356C65A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Assemblies </w:t>
            </w:r>
          </w:p>
          <w:p w14:paraId="030435C7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IAG Meeting </w:t>
            </w:r>
          </w:p>
        </w:tc>
        <w:tc>
          <w:tcPr>
            <w:tcW w:w="2031" w:type="dxa"/>
          </w:tcPr>
          <w:p w14:paraId="538FC6EB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Assemblies </w:t>
            </w:r>
          </w:p>
        </w:tc>
        <w:tc>
          <w:tcPr>
            <w:tcW w:w="2031" w:type="dxa"/>
          </w:tcPr>
          <w:p w14:paraId="4DCF04FB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Enterprise Week </w:t>
            </w:r>
          </w:p>
          <w:p w14:paraId="19FEF956" w14:textId="77777777" w:rsidR="00C84CAE" w:rsidRPr="0009036F" w:rsidRDefault="00922471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2C691E">
              <w:rPr>
                <w:rFonts w:ascii="Calibri" w:hAnsi="Calibri" w:cs="Calibri"/>
                <w:color w:val="000000"/>
                <w:highlight w:val="yellow"/>
              </w:rPr>
              <w:t>Careers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Fair </w:t>
            </w:r>
          </w:p>
        </w:tc>
      </w:tr>
      <w:tr w:rsidR="00C84CAE" w:rsidRPr="0009036F" w14:paraId="0B4BF914" w14:textId="77777777">
        <w:trPr>
          <w:trHeight w:val="110"/>
        </w:trPr>
        <w:tc>
          <w:tcPr>
            <w:tcW w:w="2031" w:type="dxa"/>
          </w:tcPr>
          <w:p w14:paraId="308183B4" w14:textId="77777777" w:rsidR="00C84CAE" w:rsidRPr="009064B9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064B9">
              <w:rPr>
                <w:rFonts w:ascii="Calibri" w:hAnsi="Calibri" w:cs="Calibri"/>
                <w:b/>
                <w:color w:val="000000"/>
                <w:highlight w:val="yellow"/>
              </w:rPr>
              <w:t xml:space="preserve">Year 11 </w:t>
            </w:r>
          </w:p>
        </w:tc>
        <w:tc>
          <w:tcPr>
            <w:tcW w:w="2031" w:type="dxa"/>
          </w:tcPr>
          <w:p w14:paraId="36D6EE79" w14:textId="77777777" w:rsidR="009064B9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>IAG Meeting</w:t>
            </w:r>
          </w:p>
          <w:p w14:paraId="73A65971" w14:textId="7E866E30" w:rsidR="00C84CAE" w:rsidRPr="0009036F" w:rsidRDefault="009064B9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Careers event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  <w:tc>
          <w:tcPr>
            <w:tcW w:w="2031" w:type="dxa"/>
          </w:tcPr>
          <w:p w14:paraId="4FC24813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Assemblies </w:t>
            </w:r>
          </w:p>
        </w:tc>
        <w:tc>
          <w:tcPr>
            <w:tcW w:w="2031" w:type="dxa"/>
          </w:tcPr>
          <w:p w14:paraId="6B53DCD6" w14:textId="50CE6C41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</w:tr>
    </w:tbl>
    <w:p w14:paraId="7C9F2723" w14:textId="77777777" w:rsidR="0009036F" w:rsidRDefault="0009036F"/>
    <w:sectPr w:rsidR="0009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588"/>
    <w:multiLevelType w:val="hybridMultilevel"/>
    <w:tmpl w:val="429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12B5"/>
    <w:multiLevelType w:val="hybridMultilevel"/>
    <w:tmpl w:val="8EC21EDA"/>
    <w:lvl w:ilvl="0" w:tplc="FBEC1434">
      <w:start w:val="127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72"/>
    <w:rsid w:val="0009036F"/>
    <w:rsid w:val="001776D2"/>
    <w:rsid w:val="002C691E"/>
    <w:rsid w:val="00325BDF"/>
    <w:rsid w:val="00491572"/>
    <w:rsid w:val="005638A5"/>
    <w:rsid w:val="007706BB"/>
    <w:rsid w:val="009064B9"/>
    <w:rsid w:val="00922471"/>
    <w:rsid w:val="00975E44"/>
    <w:rsid w:val="00B229F7"/>
    <w:rsid w:val="00B9536E"/>
    <w:rsid w:val="00BA096D"/>
    <w:rsid w:val="00C84CAE"/>
    <w:rsid w:val="00E40C28"/>
    <w:rsid w:val="00E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5726"/>
  <w15:chartTrackingRefBased/>
  <w15:docId w15:val="{2BB2EB01-E5F1-4324-B1AD-EC7A61F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7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1572"/>
    <w:rPr>
      <w:rFonts w:eastAsiaTheme="minorEastAsia"/>
      <w:sz w:val="24"/>
      <w:szCs w:val="24"/>
    </w:rPr>
  </w:style>
  <w:style w:type="paragraph" w:customStyle="1" w:styleId="Default">
    <w:name w:val="Default"/>
    <w:rsid w:val="00491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cp:keywords/>
  <dc:description/>
  <cp:lastModifiedBy>becky holland</cp:lastModifiedBy>
  <cp:revision>4</cp:revision>
  <dcterms:created xsi:type="dcterms:W3CDTF">2021-04-30T11:09:00Z</dcterms:created>
  <dcterms:modified xsi:type="dcterms:W3CDTF">2021-04-30T11:17:00Z</dcterms:modified>
</cp:coreProperties>
</file>